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b/>
          <w:bCs/>
          <w:lang w:val="en-US" w:eastAsia="zh-CN"/>
        </w:rPr>
      </w:pPr>
      <w:r>
        <w:rPr>
          <w:rFonts w:hint="eastAsia"/>
          <w:b/>
          <w:bCs/>
          <w:lang w:val="en-US" w:eastAsia="zh-CN"/>
        </w:rPr>
        <w:t>科室：眼健康中心</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6"/>
        <w:gridCol w:w="3597"/>
        <w:gridCol w:w="3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5" w:hRule="atLeast"/>
        </w:trPr>
        <w:tc>
          <w:tcPr>
            <w:tcW w:w="1466" w:type="dxa"/>
          </w:tcPr>
          <w:p>
            <w:pPr>
              <w:rPr>
                <w:rFonts w:hint="default"/>
                <w:b/>
                <w:bCs/>
                <w:lang w:val="en-US" w:eastAsia="zh-CN"/>
              </w:rPr>
            </w:pPr>
            <w:r>
              <w:rPr>
                <w:rFonts w:hint="eastAsia"/>
                <w:b/>
                <w:bCs/>
                <w:lang w:val="en-US" w:eastAsia="zh-CN"/>
              </w:rPr>
              <w:t>招收专业/亚专业</w:t>
            </w:r>
          </w:p>
        </w:tc>
        <w:tc>
          <w:tcPr>
            <w:tcW w:w="7056" w:type="dxa"/>
            <w:gridSpan w:val="2"/>
          </w:tcPr>
          <w:p>
            <w:pPr>
              <w:rPr>
                <w:rFonts w:hint="default"/>
                <w:vertAlign w:val="baseline"/>
                <w:lang w:val="en-US" w:eastAsia="zh-CN"/>
              </w:rPr>
            </w:pPr>
            <w:r>
              <w:rPr>
                <w:rFonts w:hint="eastAsia"/>
                <w:vertAlign w:val="baseline"/>
                <w:lang w:val="en-US" w:eastAsia="zh-CN"/>
              </w:rPr>
              <w:t>眼科/儿童眼科/眼保健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6" w:type="dxa"/>
          </w:tcPr>
          <w:p>
            <w:pPr>
              <w:rPr>
                <w:rFonts w:hint="default"/>
                <w:b/>
                <w:bCs/>
                <w:lang w:val="en-US" w:eastAsia="zh-CN"/>
              </w:rPr>
            </w:pPr>
            <w:r>
              <w:rPr>
                <w:rFonts w:hint="eastAsia"/>
                <w:b/>
                <w:bCs/>
                <w:lang w:val="en-US" w:eastAsia="zh-CN"/>
              </w:rPr>
              <w:t>进修生资格要求</w:t>
            </w:r>
          </w:p>
        </w:tc>
        <w:tc>
          <w:tcPr>
            <w:tcW w:w="7056" w:type="dxa"/>
            <w:gridSpan w:val="2"/>
          </w:tcPr>
          <w:p>
            <w:pPr>
              <w:rPr>
                <w:rFonts w:hint="eastAsia"/>
                <w:lang w:val="en-US" w:eastAsia="zh-CN"/>
              </w:rPr>
            </w:pPr>
            <w:r>
              <w:rPr>
                <w:rFonts w:hint="eastAsia"/>
                <w:lang w:val="en-US" w:eastAsia="zh-CN"/>
              </w:rPr>
              <w:t>具有医师资格证及执业证</w:t>
            </w:r>
          </w:p>
          <w:p>
            <w:pPr>
              <w:pStyle w:val="2"/>
              <w:rPr>
                <w:rFonts w:hint="eastAsia"/>
                <w:vertAlign w:val="baseline"/>
                <w:lang w:val="en-US" w:eastAsia="zh-CN"/>
              </w:rPr>
            </w:pPr>
            <w:r>
              <w:rPr>
                <w:rFonts w:hint="eastAsia"/>
                <w:vertAlign w:val="baseline"/>
                <w:lang w:val="en-US" w:eastAsia="zh-CN"/>
              </w:rPr>
              <w:t>或具有护士资格证</w:t>
            </w:r>
          </w:p>
          <w:p>
            <w:pPr>
              <w:pStyle w:val="2"/>
              <w:rPr>
                <w:rFonts w:hint="default"/>
                <w:vertAlign w:val="baseline"/>
                <w:lang w:val="en-US" w:eastAsia="zh-CN"/>
              </w:rPr>
            </w:pPr>
            <w:r>
              <w:rPr>
                <w:rFonts w:hint="eastAsia"/>
                <w:vertAlign w:val="baseline"/>
                <w:lang w:val="en-US" w:eastAsia="zh-CN"/>
              </w:rPr>
              <w:t>或具有眼视光技术资格证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1466" w:type="dxa"/>
          </w:tcPr>
          <w:p>
            <w:pPr>
              <w:rPr>
                <w:rFonts w:hint="default"/>
                <w:b/>
                <w:bCs/>
                <w:lang w:val="en-US" w:eastAsia="zh-CN"/>
              </w:rPr>
            </w:pPr>
            <w:r>
              <w:rPr>
                <w:rFonts w:hint="eastAsia"/>
                <w:b/>
                <w:bCs/>
                <w:lang w:val="en-US" w:eastAsia="zh-CN"/>
              </w:rPr>
              <w:t>科室介绍</w:t>
            </w:r>
          </w:p>
        </w:tc>
        <w:tc>
          <w:tcPr>
            <w:tcW w:w="7056" w:type="dxa"/>
            <w:gridSpan w:val="2"/>
          </w:tcPr>
          <w:p>
            <w:pPr>
              <w:ind w:firstLine="420" w:firstLineChars="200"/>
              <w:rPr>
                <w:rFonts w:hint="default"/>
                <w:vertAlign w:val="baseline"/>
                <w:lang w:val="en-US" w:eastAsia="zh-CN"/>
              </w:rPr>
            </w:pPr>
            <w:r>
              <w:rPr>
                <w:rFonts w:hint="eastAsia"/>
                <w:color w:val="auto"/>
                <w:sz w:val="21"/>
                <w:szCs w:val="21"/>
              </w:rPr>
              <w:t>四川省妇幼保健院</w:t>
            </w:r>
            <w:r>
              <w:rPr>
                <w:rFonts w:hint="eastAsia"/>
                <w:color w:val="auto"/>
                <w:sz w:val="21"/>
                <w:szCs w:val="21"/>
                <w:lang w:val="en-US" w:eastAsia="zh-CN"/>
              </w:rPr>
              <w:t>眼健康中心</w:t>
            </w:r>
            <w:r>
              <w:rPr>
                <w:rFonts w:hint="eastAsia"/>
                <w:color w:val="auto"/>
                <w:sz w:val="21"/>
                <w:szCs w:val="21"/>
              </w:rPr>
              <w:t>，是儿童眼病诊疗的领军者，致力于呵护孩子们的心灵之窗</w:t>
            </w:r>
            <w:r>
              <w:rPr>
                <w:rFonts w:hint="eastAsia"/>
                <w:color w:val="auto"/>
                <w:sz w:val="21"/>
                <w:szCs w:val="21"/>
                <w:lang w:eastAsia="zh-CN"/>
              </w:rPr>
              <w:t>，</w:t>
            </w:r>
            <w:r>
              <w:rPr>
                <w:rFonts w:hint="eastAsia"/>
                <w:color w:val="auto"/>
                <w:sz w:val="21"/>
                <w:szCs w:val="21"/>
                <w:lang w:val="en-US" w:eastAsia="zh-CN"/>
              </w:rPr>
              <w:t>积极促进四川省</w:t>
            </w:r>
            <w:r>
              <w:rPr>
                <w:rFonts w:hint="eastAsia" w:ascii="宋体" w:hAnsi="宋体" w:eastAsia="宋体" w:cs="宋体"/>
                <w:color w:val="auto"/>
                <w:sz w:val="21"/>
                <w:szCs w:val="21"/>
                <w:lang w:val="en-US" w:eastAsia="zh-CN"/>
              </w:rPr>
              <w:t>0-6</w:t>
            </w:r>
            <w:r>
              <w:rPr>
                <w:rFonts w:hint="eastAsia"/>
                <w:color w:val="auto"/>
                <w:sz w:val="21"/>
                <w:szCs w:val="21"/>
                <w:lang w:val="en-US" w:eastAsia="zh-CN"/>
              </w:rPr>
              <w:t>岁儿童眼及视力保健服务体系的搭建。</w:t>
            </w:r>
            <w:r>
              <w:rPr>
                <w:rFonts w:hint="eastAsia"/>
                <w:color w:val="auto"/>
                <w:sz w:val="21"/>
                <w:szCs w:val="21"/>
              </w:rPr>
              <w:t>现开展眼科常见病多发病诊疗，含婴幼儿</w:t>
            </w:r>
            <w:r>
              <w:rPr>
                <w:rFonts w:hint="eastAsia"/>
                <w:color w:val="auto"/>
                <w:sz w:val="21"/>
                <w:szCs w:val="21"/>
                <w:lang w:val="en-US" w:eastAsia="zh-CN"/>
              </w:rPr>
              <w:t>眼病筛查</w:t>
            </w:r>
            <w:r>
              <w:rPr>
                <w:rFonts w:hint="eastAsia"/>
                <w:color w:val="auto"/>
                <w:sz w:val="21"/>
                <w:szCs w:val="21"/>
              </w:rPr>
              <w:t>，青少年近视防控，屈光不正及斜弱视矫治，干眼诊疗、孕期眼健康评估</w:t>
            </w:r>
            <w:r>
              <w:rPr>
                <w:rFonts w:hint="eastAsia"/>
                <w:color w:val="auto"/>
                <w:sz w:val="21"/>
                <w:szCs w:val="21"/>
                <w:lang w:val="en-US" w:eastAsia="zh-CN"/>
              </w:rPr>
              <w:t>及常见眼病中医诊疗</w:t>
            </w:r>
            <w:r>
              <w:rPr>
                <w:rFonts w:hint="eastAsia"/>
                <w:color w:val="auto"/>
                <w:sz w:val="21"/>
                <w:szCs w:val="21"/>
              </w:rPr>
              <w:t>，眼睑</w:t>
            </w:r>
            <w:r>
              <w:rPr>
                <w:rFonts w:hint="eastAsia"/>
                <w:color w:val="auto"/>
                <w:sz w:val="21"/>
                <w:szCs w:val="21"/>
                <w:lang w:val="en-US" w:eastAsia="zh-CN"/>
              </w:rPr>
              <w:t>先天及后天</w:t>
            </w:r>
            <w:r>
              <w:rPr>
                <w:rFonts w:hint="eastAsia"/>
                <w:color w:val="auto"/>
                <w:sz w:val="21"/>
                <w:szCs w:val="21"/>
              </w:rPr>
              <w:t>异常修复</w:t>
            </w:r>
            <w:r>
              <w:rPr>
                <w:rFonts w:hint="eastAsia"/>
                <w:color w:val="auto"/>
                <w:sz w:val="21"/>
                <w:szCs w:val="21"/>
                <w:lang w:eastAsia="zh-CN"/>
              </w:rPr>
              <w:t>，</w:t>
            </w:r>
            <w:r>
              <w:rPr>
                <w:rFonts w:hint="eastAsia"/>
                <w:color w:val="auto"/>
                <w:sz w:val="21"/>
                <w:szCs w:val="21"/>
                <w:lang w:val="en-US" w:eastAsia="zh-CN"/>
              </w:rPr>
              <w:t>内分泌及代谢病相关眼病、视网膜母细胞瘤综合诊疗、泪道及眼眶疾病、眼表病及眼前段疾病的</w:t>
            </w:r>
            <w:r>
              <w:rPr>
                <w:rFonts w:hint="eastAsia"/>
                <w:color w:val="auto"/>
                <w:sz w:val="21"/>
                <w:szCs w:val="21"/>
              </w:rPr>
              <w:t>诊疗</w:t>
            </w:r>
            <w:r>
              <w:rPr>
                <w:rFonts w:hint="eastAsia"/>
                <w:color w:val="auto"/>
                <w:sz w:val="21"/>
                <w:szCs w:val="21"/>
                <w:lang w:val="en-US" w:eastAsia="zh-CN"/>
              </w:rPr>
              <w:t>服务</w:t>
            </w:r>
            <w:r>
              <w:rPr>
                <w:rFonts w:hint="eastAsia"/>
                <w:color w:val="auto"/>
                <w:sz w:val="21"/>
                <w:szCs w:val="21"/>
              </w:rPr>
              <w:t>。目前开设</w:t>
            </w:r>
            <w:r>
              <w:rPr>
                <w:rFonts w:hint="eastAsia"/>
                <w:color w:val="auto"/>
                <w:sz w:val="21"/>
                <w:szCs w:val="21"/>
                <w:lang w:val="en-US" w:eastAsia="zh-CN"/>
              </w:rPr>
              <w:t>有</w:t>
            </w:r>
            <w:r>
              <w:rPr>
                <w:rFonts w:hint="eastAsia"/>
                <w:color w:val="auto"/>
                <w:sz w:val="21"/>
                <w:szCs w:val="21"/>
              </w:rPr>
              <w:t>眼科门诊全麻手术，不用住院，术后即可回家</w:t>
            </w:r>
            <w:r>
              <w:rPr>
                <w:rFonts w:hint="eastAsia"/>
                <w:color w:val="auto"/>
                <w:sz w:val="21"/>
                <w:szCs w:val="21"/>
                <w:lang w:eastAsia="zh-CN"/>
              </w:rPr>
              <w:t>。</w:t>
            </w:r>
            <w:r>
              <w:rPr>
                <w:rFonts w:hint="eastAsia"/>
                <w:color w:val="auto"/>
                <w:sz w:val="21"/>
                <w:szCs w:val="21"/>
              </w:rPr>
              <w:t>对于不能配合又需要眼部特殊检查的患儿，特开通镇静门诊</w:t>
            </w:r>
            <w:r>
              <w:rPr>
                <w:rFonts w:hint="eastAsia"/>
                <w:color w:val="auto"/>
                <w:sz w:val="21"/>
                <w:szCs w:val="21"/>
                <w:lang w:eastAsia="zh-CN"/>
              </w:rPr>
              <w:t>，</w:t>
            </w:r>
            <w:r>
              <w:rPr>
                <w:rFonts w:hint="eastAsia"/>
                <w:color w:val="auto"/>
                <w:sz w:val="21"/>
                <w:szCs w:val="21"/>
              </w:rPr>
              <w:t>方便患儿就医。科室不断发展壮大学科队伍，积极开展科研与教学工作，旨在为</w:t>
            </w:r>
            <w:r>
              <w:rPr>
                <w:rFonts w:hint="eastAsia"/>
                <w:color w:val="auto"/>
                <w:sz w:val="21"/>
                <w:szCs w:val="21"/>
                <w:lang w:val="en-US" w:eastAsia="zh-CN"/>
              </w:rPr>
              <w:t>广大人民群众</w:t>
            </w:r>
            <w:r>
              <w:rPr>
                <w:rFonts w:hint="eastAsia"/>
                <w:color w:val="auto"/>
                <w:sz w:val="21"/>
                <w:szCs w:val="21"/>
              </w:rPr>
              <w:t>提供全生命周期的眼健康医疗</w:t>
            </w:r>
            <w:r>
              <w:rPr>
                <w:rFonts w:hint="eastAsia"/>
                <w:color w:val="auto"/>
                <w:sz w:val="21"/>
                <w:szCs w:val="21"/>
                <w:lang w:val="en-US" w:eastAsia="zh-CN"/>
              </w:rPr>
              <w:t>和保健服务</w:t>
            </w:r>
            <w:r>
              <w:rPr>
                <w:rFonts w:hint="eastAsia"/>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1466" w:type="dxa"/>
            <w:shd w:val="clear" w:color="auto" w:fill="auto"/>
            <w:vAlign w:val="top"/>
          </w:tcPr>
          <w:p>
            <w:pPr>
              <w:rPr>
                <w:rFonts w:hint="default"/>
                <w:b/>
                <w:bCs/>
                <w:lang w:val="en-US" w:eastAsia="zh-CN"/>
              </w:rPr>
            </w:pPr>
            <w:r>
              <w:rPr>
                <w:rFonts w:hint="eastAsia"/>
                <w:b/>
                <w:bCs/>
                <w:lang w:val="en-US" w:eastAsia="zh-CN"/>
              </w:rPr>
              <w:t>科室诊疗特色</w:t>
            </w:r>
          </w:p>
        </w:tc>
        <w:tc>
          <w:tcPr>
            <w:tcW w:w="7056" w:type="dxa"/>
            <w:gridSpan w:val="2"/>
          </w:tcPr>
          <w:p>
            <w:pPr>
              <w:ind w:firstLine="420" w:firstLineChars="200"/>
              <w:rPr>
                <w:rFonts w:hint="default"/>
                <w:vertAlign w:val="baseline"/>
                <w:lang w:val="en-US" w:eastAsia="zh-CN"/>
              </w:rPr>
            </w:pPr>
            <w:r>
              <w:rPr>
                <w:rFonts w:hint="default"/>
                <w:vertAlign w:val="baseline"/>
                <w:lang w:val="en-US" w:eastAsia="zh-CN"/>
              </w:rPr>
              <w:t>四川省妇幼保健院眼</w:t>
            </w:r>
            <w:r>
              <w:rPr>
                <w:rFonts w:hint="eastAsia"/>
                <w:vertAlign w:val="baseline"/>
                <w:lang w:val="en-US" w:eastAsia="zh-CN"/>
              </w:rPr>
              <w:t>健康中心目前</w:t>
            </w:r>
            <w:r>
              <w:rPr>
                <w:rFonts w:hint="default"/>
                <w:vertAlign w:val="baseline"/>
                <w:lang w:val="en-US" w:eastAsia="zh-CN"/>
              </w:rPr>
              <w:t>开展</w:t>
            </w:r>
            <w:r>
              <w:rPr>
                <w:rFonts w:hint="eastAsia"/>
                <w:vertAlign w:val="baseline"/>
                <w:lang w:val="en-US" w:eastAsia="zh-CN"/>
              </w:rPr>
              <w:t>婴幼儿</w:t>
            </w:r>
            <w:r>
              <w:rPr>
                <w:rFonts w:hint="default"/>
                <w:vertAlign w:val="baseline"/>
                <w:lang w:val="en-US" w:eastAsia="zh-CN"/>
              </w:rPr>
              <w:t>眼底检查、常见泪道眼睑及眼表病诊治、青少年近视防控、屈光不正矫正、斜弱视矫治、医学验光、视觉训练，眼睑各种先天及后天异常的手术修复，泪道手术，成人重睑及袋矫正手术。</w:t>
            </w:r>
          </w:p>
          <w:p>
            <w:pPr>
              <w:ind w:firstLine="420" w:firstLineChars="200"/>
              <w:rPr>
                <w:rFonts w:hint="default"/>
                <w:vertAlign w:val="baseline"/>
                <w:lang w:val="en-US" w:eastAsia="zh-CN"/>
              </w:rPr>
            </w:pPr>
            <w:r>
              <w:rPr>
                <w:rFonts w:hint="default"/>
                <w:vertAlign w:val="baseline"/>
                <w:lang w:val="en-US" w:eastAsia="zh-CN"/>
              </w:rPr>
              <w:t>门诊全麻手术</w:t>
            </w:r>
            <w:r>
              <w:rPr>
                <w:rFonts w:hint="eastAsia"/>
                <w:vertAlign w:val="baseline"/>
                <w:lang w:val="en-US" w:eastAsia="zh-CN"/>
              </w:rPr>
              <w:t>：眼健康中心</w:t>
            </w:r>
            <w:r>
              <w:rPr>
                <w:rFonts w:hint="default"/>
                <w:vertAlign w:val="baseline"/>
                <w:lang w:val="en-US" w:eastAsia="zh-CN"/>
              </w:rPr>
              <w:t>为方便群众就医，特联合麻醉手术中心、急诊高依赖病区开展门诊全麻眼科手术，手术后患儿观察数小时后可回家，无需住院。具有节省费用、安全性高、流程快捷等优势。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1466" w:type="dxa"/>
            <w:shd w:val="clear" w:color="auto" w:fill="auto"/>
            <w:vAlign w:val="top"/>
          </w:tcPr>
          <w:p>
            <w:pPr>
              <w:rPr>
                <w:rFonts w:hint="eastAsia" w:asciiTheme="minorHAnsi" w:hAnsiTheme="minorHAnsi" w:eastAsiaTheme="minorEastAsia" w:cstheme="minorBidi"/>
                <w:b/>
                <w:bCs/>
                <w:kern w:val="2"/>
                <w:sz w:val="21"/>
                <w:szCs w:val="24"/>
                <w:lang w:val="en-US" w:eastAsia="zh-CN" w:bidi="ar-SA"/>
              </w:rPr>
            </w:pPr>
            <w:r>
              <w:rPr>
                <w:rFonts w:hint="eastAsia"/>
                <w:b/>
                <w:bCs/>
                <w:lang w:val="en-US" w:eastAsia="zh-CN"/>
              </w:rPr>
              <w:t>科室教学、科研特色</w:t>
            </w:r>
          </w:p>
        </w:tc>
        <w:tc>
          <w:tcPr>
            <w:tcW w:w="7056" w:type="dxa"/>
            <w:gridSpan w:val="2"/>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i w:val="0"/>
                <w:iCs w:val="0"/>
                <w:caps w:val="0"/>
                <w:color w:val="4B4B4B"/>
                <w:spacing w:val="0"/>
                <w:sz w:val="21"/>
                <w:szCs w:val="21"/>
                <w:shd w:val="clear" w:fill="FFFFFF"/>
                <w:lang w:val="en-US" w:eastAsia="zh-CN"/>
              </w:rPr>
            </w:pPr>
            <w:r>
              <w:rPr>
                <w:rFonts w:hint="eastAsia" w:ascii="宋体" w:hAnsi="宋体" w:eastAsia="宋体" w:cs="宋体"/>
                <w:i w:val="0"/>
                <w:iCs w:val="0"/>
                <w:caps w:val="0"/>
                <w:color w:val="4B4B4B"/>
                <w:spacing w:val="0"/>
                <w:sz w:val="21"/>
                <w:szCs w:val="21"/>
                <w:shd w:val="clear" w:fill="FFFFFF"/>
                <w:lang w:val="en-US" w:eastAsia="zh-CN"/>
              </w:rPr>
              <w:t>（一）教学方面：我院于2023年建成四川省儿童眼及视力保健技能培训中心，配备了综合验光仪、婴幼儿广域眼底成像系统、检眼镜、检影镜、非接触眼压计等专科设备，供各批次进修学员现场观摩学习及实操练习。本部晋阳院区眼健康中心常规定期开展主题小讲课，并安排进修学员于眼科门诊、眼保健室、眼科验光室、眼科检查室和眼科治疗室轮转学习。对专科考核全部合格的学员，予以颁发培训合格证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color w:val="000000"/>
                <w:sz w:val="21"/>
                <w:szCs w:val="21"/>
                <w:lang w:eastAsia="zh-CN"/>
              </w:rPr>
            </w:pPr>
            <w:r>
              <w:rPr>
                <w:rFonts w:hint="eastAsia" w:ascii="宋体" w:hAnsi="宋体" w:eastAsia="宋体" w:cs="宋体"/>
                <w:b w:val="0"/>
                <w:bCs w:val="0"/>
                <w:color w:val="000000"/>
                <w:sz w:val="21"/>
                <w:szCs w:val="21"/>
              </w:rPr>
              <w:t>四川省妇幼保健协会联合四川省妇幼保健院</w:t>
            </w:r>
            <w:r>
              <w:rPr>
                <w:rFonts w:hint="eastAsia" w:ascii="宋体" w:hAnsi="宋体" w:eastAsia="宋体" w:cs="宋体"/>
                <w:b w:val="0"/>
                <w:bCs w:val="0"/>
                <w:color w:val="000000"/>
                <w:sz w:val="21"/>
                <w:szCs w:val="21"/>
                <w:lang w:val="en-US" w:eastAsia="zh-CN"/>
              </w:rPr>
              <w:t>定期</w:t>
            </w:r>
            <w:r>
              <w:rPr>
                <w:rFonts w:hint="eastAsia" w:ascii="宋体" w:hAnsi="宋体" w:eastAsia="宋体" w:cs="宋体"/>
                <w:b w:val="0"/>
                <w:bCs w:val="0"/>
                <w:color w:val="000000"/>
                <w:sz w:val="21"/>
                <w:szCs w:val="21"/>
              </w:rPr>
              <w:t>举办“四川省儿童眼保健规范化技能培训班”</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lang w:val="en-US" w:eastAsia="zh-CN"/>
              </w:rPr>
              <w:t>通过</w:t>
            </w:r>
            <w:r>
              <w:rPr>
                <w:rFonts w:hint="eastAsia" w:ascii="宋体" w:hAnsi="宋体" w:eastAsia="宋体" w:cs="宋体"/>
                <w:b w:val="0"/>
                <w:bCs w:val="0"/>
                <w:color w:val="000000"/>
                <w:sz w:val="21"/>
                <w:szCs w:val="21"/>
              </w:rPr>
              <w:t>“云上妇幼”平台线上理论学习和实践培训</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rPr>
              <w:t>参加眼保健规范化培训结业考试</w:t>
            </w:r>
            <w:r>
              <w:rPr>
                <w:rFonts w:hint="eastAsia" w:ascii="宋体" w:hAnsi="宋体" w:eastAsia="宋体" w:cs="宋体"/>
                <w:b w:val="0"/>
                <w:bCs w:val="0"/>
                <w:color w:val="000000"/>
                <w:sz w:val="21"/>
                <w:szCs w:val="21"/>
                <w:lang w:eastAsia="zh-CN"/>
              </w:rPr>
              <w:t>，</w:t>
            </w:r>
            <w:r>
              <w:rPr>
                <w:rFonts w:hint="eastAsia" w:ascii="宋体" w:hAnsi="宋体" w:eastAsia="宋体" w:cs="宋体"/>
                <w:b w:val="0"/>
                <w:bCs w:val="0"/>
                <w:color w:val="000000"/>
                <w:sz w:val="21"/>
                <w:szCs w:val="21"/>
                <w:lang w:val="en-US" w:eastAsia="zh-CN"/>
              </w:rPr>
              <w:t>通过后获得</w:t>
            </w:r>
            <w:r>
              <w:rPr>
                <w:rFonts w:hint="eastAsia" w:ascii="宋体" w:hAnsi="宋体" w:eastAsia="宋体" w:cs="宋体"/>
                <w:b w:val="0"/>
                <w:bCs w:val="0"/>
                <w:color w:val="000000"/>
                <w:sz w:val="21"/>
                <w:szCs w:val="21"/>
              </w:rPr>
              <w:t>“儿童眼保健培训合格证书”</w:t>
            </w:r>
            <w:r>
              <w:rPr>
                <w:rFonts w:hint="eastAsia" w:ascii="宋体" w:hAnsi="宋体" w:eastAsia="宋体" w:cs="宋体"/>
                <w:b w:val="0"/>
                <w:bCs w:val="0"/>
                <w:color w:val="000000"/>
                <w:sz w:val="21"/>
                <w:szCs w:val="21"/>
                <w:lang w:eastAsia="zh-CN"/>
              </w:rPr>
              <w:t>。</w:t>
            </w:r>
          </w:p>
          <w:p>
            <w:pPr>
              <w:pStyle w:val="2"/>
              <w:numPr>
                <w:ilvl w:val="0"/>
                <w:numId w:val="1"/>
              </w:numP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科研方面：</w:t>
            </w:r>
          </w:p>
          <w:p>
            <w:pPr>
              <w:pStyle w:val="2"/>
              <w:numPr>
                <w:ilvl w:val="0"/>
                <w:numId w:val="0"/>
              </w:numP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现我科正在进行的科研项目：</w:t>
            </w:r>
          </w:p>
          <w:p>
            <w:pPr>
              <w:pStyle w:val="2"/>
              <w:numPr>
                <w:ilvl w:val="0"/>
                <w:numId w:val="0"/>
              </w:numP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1.院内课题《四川地区早产儿与足月儿0-6 岁屈光及视力发育特点分析》</w:t>
            </w:r>
          </w:p>
          <w:p>
            <w:pPr>
              <w:pStyle w:val="2"/>
              <w:numPr>
                <w:ilvl w:val="0"/>
                <w:numId w:val="0"/>
              </w:numP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2.纵向课题《运用</w:t>
            </w:r>
            <w:r>
              <w:rPr>
                <w:rFonts w:hint="default" w:ascii="Times New Roman" w:hAnsi="Times New Roman" w:eastAsia="宋体" w:cs="Times New Roman"/>
                <w:b w:val="0"/>
                <w:bCs w:val="0"/>
                <w:color w:val="000000"/>
                <w:sz w:val="21"/>
                <w:szCs w:val="21"/>
                <w:lang w:val="en-US" w:eastAsia="zh-CN"/>
              </w:rPr>
              <w:t>OKN</w:t>
            </w:r>
            <w:r>
              <w:rPr>
                <w:rFonts w:hint="eastAsia" w:ascii="宋体" w:hAnsi="宋体" w:eastAsia="宋体" w:cs="宋体"/>
                <w:b w:val="0"/>
                <w:bCs w:val="0"/>
                <w:color w:val="000000"/>
                <w:sz w:val="21"/>
                <w:szCs w:val="21"/>
                <w:lang w:val="en-US" w:eastAsia="zh-CN"/>
              </w:rPr>
              <w:t>原理和计算机追踪识别技术自动检测幼儿视力及其临床应用》</w:t>
            </w:r>
          </w:p>
          <w:p>
            <w:pPr>
              <w:pStyle w:val="2"/>
              <w:numPr>
                <w:ilvl w:val="0"/>
                <w:numId w:val="0"/>
              </w:numP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3.横向课题《高非球微透镜联合点扩散镜片延缓儿童近视进展的疗效与</w:t>
            </w:r>
          </w:p>
          <w:p>
            <w:pPr>
              <w:pStyle w:val="2"/>
              <w:numPr>
                <w:ilvl w:val="0"/>
                <w:numId w:val="0"/>
              </w:numP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安全性研究:一项随机对照单盲临床试验》</w:t>
            </w:r>
          </w:p>
          <w:p>
            <w:pPr>
              <w:pStyle w:val="2"/>
              <w:numPr>
                <w:ilvl w:val="0"/>
                <w:numId w:val="0"/>
              </w:numPr>
              <w:rPr>
                <w:rFonts w:hint="default" w:ascii="宋体" w:hAnsi="宋体" w:eastAsia="宋体" w:cs="宋体"/>
                <w:b w:val="0"/>
                <w:bCs w:val="0"/>
                <w:color w:val="000000"/>
                <w:sz w:val="21"/>
                <w:szCs w:val="21"/>
                <w:lang w:val="en-US" w:eastAsia="zh-CN"/>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466" w:type="dxa"/>
            <w:vAlign w:val="center"/>
          </w:tcPr>
          <w:p>
            <w:pPr>
              <w:rPr>
                <w:rFonts w:hint="default"/>
                <w:vertAlign w:val="baseline"/>
                <w:lang w:val="en-US" w:eastAsia="zh-CN"/>
              </w:rPr>
            </w:pPr>
            <w:r>
              <w:rPr>
                <w:rFonts w:hint="default"/>
                <w:b/>
                <w:bCs/>
                <w:lang w:val="en-US" w:eastAsia="zh-CN"/>
              </w:rPr>
              <w:t>教学课程设置</w:t>
            </w:r>
          </w:p>
        </w:tc>
        <w:tc>
          <w:tcPr>
            <w:tcW w:w="3597" w:type="dxa"/>
            <w:vAlign w:val="center"/>
          </w:tcPr>
          <w:p>
            <w:pPr>
              <w:jc w:val="center"/>
              <w:rPr>
                <w:rFonts w:hint="default"/>
                <w:b/>
                <w:bCs/>
                <w:lang w:val="en-US" w:eastAsia="zh-CN"/>
              </w:rPr>
            </w:pPr>
            <w:r>
              <w:rPr>
                <w:rFonts w:hint="eastAsia"/>
                <w:b/>
                <w:bCs/>
                <w:lang w:val="en-US" w:eastAsia="zh-CN"/>
              </w:rPr>
              <w:t>课程内容</w:t>
            </w:r>
          </w:p>
        </w:tc>
        <w:tc>
          <w:tcPr>
            <w:tcW w:w="3459" w:type="dxa"/>
            <w:shd w:val="clear" w:color="auto" w:fill="auto"/>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b/>
                <w:bCs/>
                <w:kern w:val="2"/>
                <w:sz w:val="21"/>
                <w:szCs w:val="24"/>
                <w:vertAlign w:val="baseline"/>
                <w:lang w:val="en-US" w:eastAsia="zh-CN" w:bidi="ar-SA"/>
              </w:rPr>
              <w:t>教学要点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466" w:type="dxa"/>
            <w:vAlign w:val="center"/>
          </w:tcPr>
          <w:p>
            <w:pPr>
              <w:jc w:val="center"/>
              <w:rPr>
                <w:rFonts w:hint="default"/>
                <w:b/>
                <w:bCs/>
                <w:lang w:val="en-US" w:eastAsia="zh-CN"/>
              </w:rPr>
            </w:pPr>
            <w:r>
              <w:rPr>
                <w:rFonts w:hint="eastAsia"/>
                <w:b w:val="0"/>
                <w:bCs w:val="0"/>
                <w:color w:val="7F7F7F" w:themeColor="background1" w:themeShade="80"/>
                <w:lang w:val="en-US" w:eastAsia="zh-CN"/>
              </w:rPr>
              <w:t>理论课程/操作课程/临床实习</w:t>
            </w:r>
          </w:p>
        </w:tc>
        <w:tc>
          <w:tcPr>
            <w:tcW w:w="3597" w:type="dxa"/>
            <w:vAlign w:val="center"/>
          </w:tcPr>
          <w:p>
            <w:pPr>
              <w:numPr>
                <w:ilvl w:val="0"/>
                <w:numId w:val="2"/>
              </w:numPr>
              <w:spacing w:line="240" w:lineRule="auto"/>
              <w:jc w:val="left"/>
              <w:rPr>
                <w:rFonts w:hint="eastAsia" w:ascii="宋体" w:hAnsi="宋体" w:eastAsia="宋体" w:cs="宋体"/>
                <w:lang w:val="en-US" w:eastAsia="zh-CN"/>
              </w:rPr>
            </w:pPr>
            <w:r>
              <w:rPr>
                <w:rFonts w:hint="eastAsia" w:ascii="宋体" w:hAnsi="宋体" w:eastAsia="宋体" w:cs="宋体"/>
                <w:lang w:val="en-US" w:eastAsia="zh-CN"/>
              </w:rPr>
              <w:t>小讲课：</w:t>
            </w:r>
          </w:p>
          <w:p>
            <w:pPr>
              <w:numPr>
                <w:ilvl w:val="0"/>
                <w:numId w:val="3"/>
              </w:numPr>
              <w:spacing w:line="240" w:lineRule="auto"/>
              <w:jc w:val="left"/>
              <w:rPr>
                <w:rFonts w:hint="eastAsia" w:ascii="宋体" w:hAnsi="宋体" w:eastAsia="宋体" w:cs="宋体"/>
                <w:lang w:val="en-US" w:eastAsia="zh-CN"/>
              </w:rPr>
            </w:pPr>
            <w:r>
              <w:rPr>
                <w:rFonts w:hint="eastAsia" w:ascii="宋体" w:hAnsi="宋体" w:eastAsia="宋体" w:cs="宋体"/>
                <w:lang w:val="en-US" w:eastAsia="zh-CN"/>
              </w:rPr>
              <w:t>《0-6岁儿童眼及视力保健服务规范政策解读》</w:t>
            </w:r>
          </w:p>
          <w:p>
            <w:pPr>
              <w:numPr>
                <w:ilvl w:val="0"/>
                <w:numId w:val="3"/>
              </w:numPr>
              <w:spacing w:line="240" w:lineRule="auto"/>
              <w:ind w:left="0" w:leftChars="0" w:firstLine="0" w:firstLineChars="0"/>
              <w:jc w:val="left"/>
              <w:rPr>
                <w:rFonts w:hint="eastAsia" w:ascii="宋体" w:hAnsi="宋体" w:eastAsia="宋体" w:cs="宋体"/>
                <w:lang w:val="en-US" w:eastAsia="zh-CN"/>
              </w:rPr>
            </w:pPr>
            <w:r>
              <w:rPr>
                <w:rFonts w:hint="eastAsia" w:ascii="宋体" w:hAnsi="宋体" w:eastAsia="宋体" w:cs="宋体"/>
                <w:lang w:val="en-US" w:eastAsia="zh-CN"/>
              </w:rPr>
              <w:t>《眼及附属器的解剖》</w:t>
            </w:r>
          </w:p>
          <w:p>
            <w:pPr>
              <w:numPr>
                <w:ilvl w:val="0"/>
                <w:numId w:val="3"/>
              </w:numPr>
              <w:spacing w:line="240" w:lineRule="auto"/>
              <w:ind w:left="0" w:leftChars="0" w:firstLine="0" w:firstLineChars="0"/>
              <w:jc w:val="left"/>
              <w:rPr>
                <w:rFonts w:hint="eastAsia" w:ascii="宋体" w:hAnsi="宋体" w:eastAsia="宋体" w:cs="宋体"/>
                <w:lang w:val="en-US" w:eastAsia="zh-CN"/>
              </w:rPr>
            </w:pPr>
            <w:r>
              <w:rPr>
                <w:rFonts w:hint="eastAsia" w:ascii="宋体" w:hAnsi="宋体" w:eastAsia="宋体" w:cs="宋体"/>
                <w:lang w:val="en-US" w:eastAsia="zh-CN"/>
              </w:rPr>
              <w:t>《眼科常用药品》</w:t>
            </w:r>
          </w:p>
          <w:p>
            <w:pPr>
              <w:numPr>
                <w:ilvl w:val="0"/>
                <w:numId w:val="3"/>
              </w:numPr>
              <w:spacing w:line="240" w:lineRule="auto"/>
              <w:ind w:left="0" w:leftChars="0" w:firstLine="0" w:firstLineChars="0"/>
              <w:jc w:val="left"/>
              <w:rPr>
                <w:rFonts w:hint="eastAsia" w:ascii="宋体" w:hAnsi="宋体" w:eastAsia="宋体" w:cs="宋体"/>
                <w:lang w:val="en-US" w:eastAsia="zh-CN"/>
              </w:rPr>
            </w:pPr>
            <w:r>
              <w:rPr>
                <w:rFonts w:hint="eastAsia" w:ascii="宋体" w:hAnsi="宋体" w:eastAsia="宋体" w:cs="宋体"/>
                <w:lang w:val="en-US" w:eastAsia="zh-CN"/>
              </w:rPr>
              <w:t>《婴幼儿常见眼病诊疗》</w:t>
            </w:r>
          </w:p>
          <w:p>
            <w:pPr>
              <w:numPr>
                <w:ilvl w:val="0"/>
                <w:numId w:val="3"/>
              </w:numPr>
              <w:spacing w:line="240" w:lineRule="auto"/>
              <w:ind w:left="0" w:leftChars="0" w:firstLine="0" w:firstLineChars="0"/>
              <w:jc w:val="left"/>
              <w:rPr>
                <w:rFonts w:hint="eastAsia" w:ascii="宋体" w:hAnsi="宋体" w:eastAsia="宋体" w:cs="宋体"/>
                <w:lang w:val="en-US" w:eastAsia="zh-CN"/>
              </w:rPr>
            </w:pPr>
            <w:r>
              <w:rPr>
                <w:rFonts w:hint="eastAsia" w:ascii="宋体" w:hAnsi="宋体" w:eastAsia="宋体" w:cs="宋体"/>
                <w:lang w:val="en-US" w:eastAsia="zh-CN"/>
              </w:rPr>
              <w:t>《婴幼儿泪道疾病的诊治》</w:t>
            </w:r>
          </w:p>
          <w:p>
            <w:pPr>
              <w:pStyle w:val="2"/>
              <w:numPr>
                <w:ilvl w:val="0"/>
                <w:numId w:val="3"/>
              </w:numPr>
              <w:spacing w:line="240" w:lineRule="auto"/>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《中国儿童弱视防治专家共识(2023)解读》</w:t>
            </w:r>
          </w:p>
          <w:p>
            <w:pPr>
              <w:pStyle w:val="2"/>
              <w:numPr>
                <w:ilvl w:val="0"/>
                <w:numId w:val="3"/>
              </w:numPr>
              <w:spacing w:line="240" w:lineRule="auto"/>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《近视防控方法汇总》</w:t>
            </w:r>
          </w:p>
          <w:p>
            <w:pPr>
              <w:pStyle w:val="2"/>
              <w:numPr>
                <w:ilvl w:val="0"/>
                <w:numId w:val="3"/>
              </w:numPr>
              <w:spacing w:line="240" w:lineRule="auto"/>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《婴幼儿屈光不正的诊疗》</w:t>
            </w:r>
          </w:p>
          <w:p>
            <w:pPr>
              <w:pStyle w:val="2"/>
              <w:numPr>
                <w:ilvl w:val="0"/>
                <w:numId w:val="3"/>
              </w:numPr>
              <w:spacing w:line="240" w:lineRule="auto"/>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《斜视检查》</w:t>
            </w:r>
          </w:p>
          <w:p>
            <w:pPr>
              <w:pStyle w:val="2"/>
              <w:numPr>
                <w:ilvl w:val="0"/>
                <w:numId w:val="3"/>
              </w:numPr>
              <w:spacing w:line="240" w:lineRule="auto"/>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《低浓度阿托品滴眼液在儿童青少年近视防控中的应用专家共识》</w:t>
            </w:r>
          </w:p>
          <w:p>
            <w:pPr>
              <w:numPr>
                <w:ilvl w:val="0"/>
                <w:numId w:val="2"/>
              </w:numPr>
              <w:spacing w:line="240" w:lineRule="auto"/>
              <w:jc w:val="left"/>
              <w:rPr>
                <w:rFonts w:hint="eastAsia" w:ascii="宋体" w:hAnsi="宋体" w:eastAsia="宋体" w:cs="宋体"/>
                <w:lang w:val="en-US" w:eastAsia="zh-CN"/>
              </w:rPr>
            </w:pPr>
            <w:r>
              <w:rPr>
                <w:rFonts w:hint="eastAsia" w:ascii="宋体" w:hAnsi="宋体" w:eastAsia="宋体" w:cs="宋体"/>
                <w:lang w:val="en-US" w:eastAsia="zh-CN"/>
              </w:rPr>
              <w:t>实践技能培训：</w:t>
            </w:r>
          </w:p>
          <w:p>
            <w:pPr>
              <w:pStyle w:val="2"/>
              <w:numPr>
                <w:ilvl w:val="0"/>
                <w:numId w:val="4"/>
              </w:numPr>
              <w:spacing w:line="240" w:lineRule="auto"/>
              <w:rPr>
                <w:rFonts w:hint="eastAsia" w:ascii="宋体" w:hAnsi="宋体" w:eastAsia="宋体" w:cs="宋体"/>
                <w:i w:val="0"/>
                <w:iCs w:val="0"/>
                <w:caps w:val="0"/>
                <w:color w:val="4B4B4B"/>
                <w:spacing w:val="0"/>
                <w:sz w:val="21"/>
                <w:szCs w:val="21"/>
                <w:shd w:val="clear" w:fill="FFFFFF"/>
                <w:lang w:val="en-US" w:eastAsia="zh-CN"/>
              </w:rPr>
            </w:pPr>
            <w:r>
              <w:rPr>
                <w:rFonts w:hint="eastAsia" w:ascii="宋体" w:hAnsi="宋体" w:eastAsia="宋体" w:cs="宋体"/>
                <w:i w:val="0"/>
                <w:iCs w:val="0"/>
                <w:caps w:val="0"/>
                <w:color w:val="4B4B4B"/>
                <w:spacing w:val="0"/>
                <w:sz w:val="21"/>
                <w:szCs w:val="21"/>
                <w:shd w:val="clear" w:fill="FFFFFF"/>
                <w:lang w:val="en-US" w:eastAsia="zh-CN"/>
              </w:rPr>
              <w:t>《眼保健</w:t>
            </w:r>
            <w:r>
              <w:rPr>
                <w:rFonts w:hint="eastAsia" w:ascii="宋体" w:hAnsi="宋体" w:eastAsia="宋体" w:cs="宋体"/>
                <w:lang w:val="en-US" w:eastAsia="zh-CN"/>
              </w:rPr>
              <w:t>常见设备规范使用</w:t>
            </w:r>
            <w:r>
              <w:rPr>
                <w:rFonts w:hint="eastAsia" w:ascii="宋体" w:hAnsi="宋体" w:eastAsia="宋体" w:cs="宋体"/>
                <w:i w:val="0"/>
                <w:iCs w:val="0"/>
                <w:caps w:val="0"/>
                <w:color w:val="4B4B4B"/>
                <w:spacing w:val="0"/>
                <w:sz w:val="21"/>
                <w:szCs w:val="21"/>
                <w:shd w:val="clear" w:fill="FFFFFF"/>
                <w:lang w:val="en-US" w:eastAsia="zh-CN"/>
              </w:rPr>
              <w:t>》</w:t>
            </w:r>
          </w:p>
          <w:p>
            <w:pPr>
              <w:pStyle w:val="2"/>
              <w:numPr>
                <w:ilvl w:val="0"/>
                <w:numId w:val="4"/>
              </w:numPr>
              <w:spacing w:line="240" w:lineRule="auto"/>
              <w:rPr>
                <w:rFonts w:hint="eastAsia" w:ascii="宋体" w:hAnsi="宋体" w:eastAsia="宋体" w:cs="宋体"/>
                <w:i w:val="0"/>
                <w:iCs w:val="0"/>
                <w:caps w:val="0"/>
                <w:color w:val="4B4B4B"/>
                <w:spacing w:val="0"/>
                <w:sz w:val="21"/>
                <w:szCs w:val="21"/>
                <w:shd w:val="clear" w:fill="FFFFFF"/>
                <w:lang w:val="en-US" w:eastAsia="zh-CN"/>
              </w:rPr>
            </w:pPr>
            <w:r>
              <w:rPr>
                <w:rFonts w:hint="eastAsia" w:ascii="宋体" w:hAnsi="宋体" w:eastAsia="宋体" w:cs="宋体"/>
                <w:i w:val="0"/>
                <w:iCs w:val="0"/>
                <w:caps w:val="0"/>
                <w:color w:val="4B4B4B"/>
                <w:spacing w:val="0"/>
                <w:sz w:val="21"/>
                <w:szCs w:val="21"/>
                <w:shd w:val="clear" w:fill="FFFFFF"/>
                <w:lang w:val="en-US" w:eastAsia="zh-CN"/>
              </w:rPr>
              <w:t>《视力检查的方法》</w:t>
            </w:r>
          </w:p>
          <w:p>
            <w:pPr>
              <w:pStyle w:val="2"/>
              <w:numPr>
                <w:ilvl w:val="0"/>
                <w:numId w:val="4"/>
              </w:numPr>
              <w:spacing w:line="240" w:lineRule="auto"/>
              <w:rPr>
                <w:rFonts w:hint="eastAsia" w:ascii="宋体" w:hAnsi="宋体" w:eastAsia="宋体" w:cs="宋体"/>
                <w:i w:val="0"/>
                <w:iCs w:val="0"/>
                <w:caps w:val="0"/>
                <w:color w:val="4B4B4B"/>
                <w:spacing w:val="0"/>
                <w:sz w:val="21"/>
                <w:szCs w:val="21"/>
                <w:shd w:val="clear" w:fill="FFFFFF"/>
                <w:lang w:val="en-US" w:eastAsia="zh-CN"/>
              </w:rPr>
            </w:pPr>
            <w:r>
              <w:rPr>
                <w:rFonts w:hint="eastAsia" w:ascii="宋体" w:hAnsi="宋体" w:eastAsia="宋体" w:cs="宋体"/>
                <w:i w:val="0"/>
                <w:iCs w:val="0"/>
                <w:caps w:val="0"/>
                <w:color w:val="4B4B4B"/>
                <w:spacing w:val="0"/>
                <w:sz w:val="21"/>
                <w:szCs w:val="21"/>
                <w:shd w:val="clear" w:fill="FFFFFF"/>
                <w:lang w:val="en-US" w:eastAsia="zh-CN"/>
              </w:rPr>
              <w:t>《婴幼儿视网膜病变检查》</w:t>
            </w:r>
          </w:p>
          <w:p>
            <w:pPr>
              <w:pStyle w:val="2"/>
              <w:numPr>
                <w:ilvl w:val="0"/>
                <w:numId w:val="4"/>
              </w:numPr>
              <w:spacing w:line="240" w:lineRule="auto"/>
              <w:rPr>
                <w:rFonts w:hint="eastAsia" w:ascii="宋体" w:hAnsi="宋体" w:eastAsia="宋体" w:cs="宋体"/>
                <w:i w:val="0"/>
                <w:iCs w:val="0"/>
                <w:caps w:val="0"/>
                <w:color w:val="4B4B4B"/>
                <w:spacing w:val="0"/>
                <w:sz w:val="21"/>
                <w:szCs w:val="21"/>
                <w:shd w:val="clear" w:fill="FFFFFF"/>
                <w:lang w:val="en-US" w:eastAsia="zh-CN"/>
              </w:rPr>
            </w:pPr>
            <w:r>
              <w:rPr>
                <w:rFonts w:hint="eastAsia" w:ascii="宋体" w:hAnsi="宋体" w:eastAsia="宋体" w:cs="宋体"/>
                <w:i w:val="0"/>
                <w:iCs w:val="0"/>
                <w:caps w:val="0"/>
                <w:color w:val="4B4B4B"/>
                <w:spacing w:val="0"/>
                <w:sz w:val="21"/>
                <w:szCs w:val="21"/>
                <w:shd w:val="clear" w:fill="FFFFFF"/>
                <w:lang w:val="en-US" w:eastAsia="zh-CN"/>
              </w:rPr>
              <w:t>《婴幼儿泪道冲洗培训》</w:t>
            </w:r>
          </w:p>
          <w:p>
            <w:pPr>
              <w:pStyle w:val="2"/>
              <w:numPr>
                <w:ilvl w:val="0"/>
                <w:numId w:val="4"/>
              </w:numPr>
              <w:spacing w:line="240" w:lineRule="auto"/>
              <w:rPr>
                <w:rFonts w:hint="eastAsia" w:ascii="宋体" w:hAnsi="宋体" w:eastAsia="宋体" w:cs="宋体"/>
                <w:i w:val="0"/>
                <w:iCs w:val="0"/>
                <w:caps w:val="0"/>
                <w:color w:val="4B4B4B"/>
                <w:spacing w:val="0"/>
                <w:sz w:val="21"/>
                <w:szCs w:val="21"/>
                <w:shd w:val="clear" w:fill="FFFFFF"/>
                <w:lang w:val="en-US" w:eastAsia="zh-CN"/>
              </w:rPr>
            </w:pPr>
            <w:r>
              <w:rPr>
                <w:rFonts w:hint="eastAsia" w:ascii="宋体" w:hAnsi="宋体" w:eastAsia="宋体" w:cs="宋体"/>
                <w:i w:val="0"/>
                <w:iCs w:val="0"/>
                <w:caps w:val="0"/>
                <w:color w:val="4B4B4B"/>
                <w:spacing w:val="0"/>
                <w:sz w:val="21"/>
                <w:szCs w:val="21"/>
                <w:shd w:val="clear" w:fill="FFFFFF"/>
                <w:lang w:val="en-US" w:eastAsia="zh-CN"/>
              </w:rPr>
              <w:t>《儿童屈光不正验光配镜技巧及案例分析》</w:t>
            </w:r>
          </w:p>
          <w:p>
            <w:pPr>
              <w:pStyle w:val="2"/>
              <w:numPr>
                <w:ilvl w:val="0"/>
                <w:numId w:val="4"/>
              </w:numPr>
              <w:spacing w:line="240" w:lineRule="auto"/>
              <w:rPr>
                <w:rFonts w:hint="default" w:ascii="宋体" w:hAnsi="宋体" w:eastAsia="宋体" w:cs="宋体"/>
                <w:i w:val="0"/>
                <w:iCs w:val="0"/>
                <w:caps w:val="0"/>
                <w:color w:val="4B4B4B"/>
                <w:spacing w:val="0"/>
                <w:sz w:val="21"/>
                <w:szCs w:val="21"/>
                <w:shd w:val="clear" w:fill="FFFFFF"/>
                <w:lang w:val="en-US" w:eastAsia="zh-CN"/>
              </w:rPr>
            </w:pPr>
            <w:r>
              <w:rPr>
                <w:rFonts w:hint="eastAsia" w:ascii="宋体" w:hAnsi="宋体" w:eastAsia="宋体" w:cs="宋体"/>
                <w:i w:val="0"/>
                <w:iCs w:val="0"/>
                <w:caps w:val="0"/>
                <w:color w:val="4B4B4B"/>
                <w:spacing w:val="0"/>
                <w:sz w:val="21"/>
                <w:szCs w:val="21"/>
                <w:shd w:val="clear" w:fill="FFFFFF"/>
                <w:lang w:val="en-US" w:eastAsia="zh-CN"/>
              </w:rPr>
              <w:t>《感染性结膜炎结膜囊取样方法教学》</w:t>
            </w:r>
          </w:p>
        </w:tc>
        <w:tc>
          <w:tcPr>
            <w:tcW w:w="3459" w:type="dxa"/>
            <w:shd w:val="clear" w:color="auto" w:fill="auto"/>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aps w:val="0"/>
                <w:color w:val="4B4B4B"/>
                <w:spacing w:val="0"/>
                <w:sz w:val="21"/>
                <w:szCs w:val="21"/>
                <w:shd w:val="clear" w:fill="FFFFFF"/>
                <w:lang w:val="en-US" w:eastAsia="zh-CN"/>
              </w:rPr>
            </w:pPr>
            <w:r>
              <w:rPr>
                <w:rFonts w:hint="eastAsia" w:ascii="宋体" w:hAnsi="宋体" w:eastAsia="宋体" w:cs="宋体"/>
                <w:i w:val="0"/>
                <w:iCs w:val="0"/>
                <w:caps w:val="0"/>
                <w:color w:val="4B4B4B"/>
                <w:spacing w:val="0"/>
                <w:sz w:val="21"/>
                <w:szCs w:val="21"/>
                <w:shd w:val="clear" w:fill="FFFFFF"/>
                <w:lang w:val="en-US" w:eastAsia="zh-CN"/>
              </w:rPr>
              <w:t>规范定期的理论授课夯实儿童眼保健基础知识，熟练掌握儿童眼科常见眼病诊疗规范及不同年龄段儿童眼保健注意事项。</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jc w:val="left"/>
              <w:textAlignment w:val="auto"/>
              <w:rPr>
                <w:rFonts w:hint="eastAsia" w:ascii="宋体" w:hAnsi="宋体" w:eastAsia="宋体" w:cs="宋体"/>
                <w:i w:val="0"/>
                <w:iCs w:val="0"/>
                <w:caps w:val="0"/>
                <w:color w:val="4B4B4B"/>
                <w:spacing w:val="0"/>
                <w:sz w:val="21"/>
                <w:szCs w:val="21"/>
                <w:shd w:val="clear" w:fill="FFFFFF"/>
                <w:lang w:val="en-US" w:eastAsia="zh-CN"/>
              </w:rPr>
            </w:pPr>
            <w:r>
              <w:rPr>
                <w:rFonts w:hint="eastAsia" w:ascii="宋体" w:hAnsi="宋体" w:eastAsia="宋体" w:cs="宋体"/>
                <w:i w:val="0"/>
                <w:iCs w:val="0"/>
                <w:caps w:val="0"/>
                <w:color w:val="4B4B4B"/>
                <w:spacing w:val="0"/>
                <w:sz w:val="21"/>
                <w:szCs w:val="21"/>
                <w:shd w:val="clear" w:fill="FFFFFF"/>
                <w:lang w:val="en-US" w:eastAsia="zh-CN"/>
              </w:rPr>
              <w:t>临床技能现场指导学员基本掌握眼科常见设备的操作规范及儿童眼科常用检查方法，熟悉儿童眼及视力检查填报系统，并掌握电子系统填报技巧。</w:t>
            </w:r>
          </w:p>
          <w:p>
            <w:pPr>
              <w:jc w:val="center"/>
              <w:rPr>
                <w:rFonts w:hint="default" w:asciiTheme="minorHAnsi" w:hAnsiTheme="minorHAnsi" w:eastAsiaTheme="minorEastAsia" w:cstheme="minorBidi"/>
                <w:b/>
                <w:bCs/>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466" w:type="dxa"/>
            <w:vAlign w:val="center"/>
          </w:tcPr>
          <w:p>
            <w:pPr>
              <w:rPr>
                <w:rFonts w:hint="default"/>
                <w:b w:val="0"/>
                <w:bCs w:val="0"/>
                <w:color w:val="7F7F7F" w:themeColor="background1" w:themeShade="80"/>
                <w:lang w:val="en-US" w:eastAsia="zh-CN"/>
              </w:rPr>
            </w:pPr>
            <w:r>
              <w:rPr>
                <w:rFonts w:hint="eastAsia"/>
                <w:b/>
                <w:bCs/>
                <w:lang w:val="en-US" w:eastAsia="zh-CN"/>
              </w:rPr>
              <w:t>教学目标</w:t>
            </w:r>
          </w:p>
        </w:tc>
        <w:tc>
          <w:tcPr>
            <w:tcW w:w="7056" w:type="dxa"/>
            <w:gridSpan w:val="2"/>
            <w:vAlign w:val="center"/>
          </w:tcPr>
          <w:p>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ascii="Times New Roman" w:hAnsi="Times New Roman" w:eastAsia="宋体" w:cs="Times New Roman"/>
                <w:b w:val="0"/>
                <w:bCs w:val="0"/>
                <w:color w:val="auto"/>
                <w:sz w:val="28"/>
                <w:szCs w:val="28"/>
                <w:lang w:val="en-US" w:eastAsia="zh-CN"/>
              </w:rPr>
            </w:pPr>
            <w:r>
              <w:rPr>
                <w:rFonts w:hint="eastAsia" w:ascii="宋体" w:hAnsi="宋体" w:eastAsia="宋体" w:cs="宋体"/>
                <w:i w:val="0"/>
                <w:iCs w:val="0"/>
                <w:caps w:val="0"/>
                <w:color w:val="4B4B4B"/>
                <w:spacing w:val="0"/>
                <w:sz w:val="21"/>
                <w:szCs w:val="21"/>
                <w:shd w:val="clear" w:fill="FFFFFF"/>
                <w:lang w:val="en-US" w:eastAsia="zh-CN"/>
              </w:rPr>
              <w:t>熟练掌握儿童眼科常见眼病诊疗规范及不同年龄段儿童眼保健注意事项；基本掌握眼科常见设备的操作规范及儿童眼科常用检查方法。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466" w:type="dxa"/>
            <w:vAlign w:val="center"/>
          </w:tcPr>
          <w:p>
            <w:pPr>
              <w:jc w:val="left"/>
              <w:rPr>
                <w:rFonts w:hint="eastAsia"/>
                <w:b/>
                <w:bCs/>
                <w:lang w:val="en-US" w:eastAsia="zh-CN"/>
              </w:rPr>
            </w:pPr>
            <w:r>
              <w:rPr>
                <w:rFonts w:hint="eastAsia"/>
                <w:b/>
                <w:bCs/>
                <w:lang w:val="en-US" w:eastAsia="zh-CN"/>
              </w:rPr>
              <w:t>其他说明</w:t>
            </w:r>
          </w:p>
        </w:tc>
        <w:tc>
          <w:tcPr>
            <w:tcW w:w="7056" w:type="dxa"/>
            <w:gridSpan w:val="2"/>
            <w:vAlign w:val="center"/>
          </w:tcPr>
          <w:p>
            <w:pPr>
              <w:pStyle w:val="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default" w:ascii="Times New Roman" w:hAnsi="Times New Roman" w:eastAsia="宋体" w:cs="Times New Roman"/>
                <w:b w:val="0"/>
                <w:bCs w:val="0"/>
                <w:color w:val="auto"/>
                <w:sz w:val="28"/>
                <w:szCs w:val="28"/>
                <w:lang w:val="en-US" w:eastAsia="zh-CN"/>
              </w:rPr>
            </w:pP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54865E"/>
    <w:multiLevelType w:val="singleLevel"/>
    <w:tmpl w:val="DF54865E"/>
    <w:lvl w:ilvl="0" w:tentative="0">
      <w:start w:val="1"/>
      <w:numFmt w:val="decimal"/>
      <w:lvlText w:val="%1."/>
      <w:lvlJc w:val="left"/>
      <w:pPr>
        <w:tabs>
          <w:tab w:val="left" w:pos="312"/>
        </w:tabs>
      </w:pPr>
    </w:lvl>
  </w:abstractNum>
  <w:abstractNum w:abstractNumId="1">
    <w:nsid w:val="E6BB3531"/>
    <w:multiLevelType w:val="singleLevel"/>
    <w:tmpl w:val="E6BB3531"/>
    <w:lvl w:ilvl="0" w:tentative="0">
      <w:start w:val="2"/>
      <w:numFmt w:val="chineseCounting"/>
      <w:suff w:val="nothing"/>
      <w:lvlText w:val="（%1）"/>
      <w:lvlJc w:val="left"/>
      <w:rPr>
        <w:rFonts w:hint="eastAsia"/>
      </w:rPr>
    </w:lvl>
  </w:abstractNum>
  <w:abstractNum w:abstractNumId="2">
    <w:nsid w:val="057AF2D8"/>
    <w:multiLevelType w:val="singleLevel"/>
    <w:tmpl w:val="057AF2D8"/>
    <w:lvl w:ilvl="0" w:tentative="0">
      <w:start w:val="1"/>
      <w:numFmt w:val="chineseCounting"/>
      <w:suff w:val="nothing"/>
      <w:lvlText w:val="%1、"/>
      <w:lvlJc w:val="left"/>
      <w:rPr>
        <w:rFonts w:hint="eastAsia"/>
      </w:rPr>
    </w:lvl>
  </w:abstractNum>
  <w:abstractNum w:abstractNumId="3">
    <w:nsid w:val="3C857861"/>
    <w:multiLevelType w:val="singleLevel"/>
    <w:tmpl w:val="3C857861"/>
    <w:lvl w:ilvl="0" w:tentative="0">
      <w:start w:val="1"/>
      <w:numFmt w:val="decimal"/>
      <w:suff w:val="nothing"/>
      <w:lvlText w:val="%1、"/>
      <w:lvlJc w:val="left"/>
    </w:lvl>
  </w:abstractNum>
  <w:abstractNum w:abstractNumId="4">
    <w:nsid w:val="43C188C8"/>
    <w:multiLevelType w:val="singleLevel"/>
    <w:tmpl w:val="43C188C8"/>
    <w:lvl w:ilvl="0" w:tentative="0">
      <w:start w:val="1"/>
      <w:numFmt w:val="decimal"/>
      <w:lvlText w:val="%1."/>
      <w:lvlJc w:val="left"/>
      <w:pPr>
        <w:tabs>
          <w:tab w:val="left" w:pos="312"/>
        </w:tabs>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86CA1"/>
    <w:rsid w:val="01422176"/>
    <w:rsid w:val="015B3238"/>
    <w:rsid w:val="01BD616A"/>
    <w:rsid w:val="02151639"/>
    <w:rsid w:val="0328539C"/>
    <w:rsid w:val="03343D40"/>
    <w:rsid w:val="037107E0"/>
    <w:rsid w:val="03DB0660"/>
    <w:rsid w:val="04C9670A"/>
    <w:rsid w:val="0511564D"/>
    <w:rsid w:val="05593CCD"/>
    <w:rsid w:val="059A3C03"/>
    <w:rsid w:val="05C375FE"/>
    <w:rsid w:val="063B3638"/>
    <w:rsid w:val="075C73C2"/>
    <w:rsid w:val="07F608C5"/>
    <w:rsid w:val="08CB0CA3"/>
    <w:rsid w:val="09214F40"/>
    <w:rsid w:val="096B4234"/>
    <w:rsid w:val="09945539"/>
    <w:rsid w:val="09D5345C"/>
    <w:rsid w:val="0A430D0D"/>
    <w:rsid w:val="0A454A85"/>
    <w:rsid w:val="0B226B74"/>
    <w:rsid w:val="0B8E7D66"/>
    <w:rsid w:val="0C4F74F5"/>
    <w:rsid w:val="0C6E3756"/>
    <w:rsid w:val="0D927FE1"/>
    <w:rsid w:val="0DF02F5A"/>
    <w:rsid w:val="0E666D78"/>
    <w:rsid w:val="0E71409B"/>
    <w:rsid w:val="0F476BAA"/>
    <w:rsid w:val="0F6C4862"/>
    <w:rsid w:val="0FEF171B"/>
    <w:rsid w:val="10401F77"/>
    <w:rsid w:val="10795489"/>
    <w:rsid w:val="11D54941"/>
    <w:rsid w:val="11FA7F03"/>
    <w:rsid w:val="131E40C5"/>
    <w:rsid w:val="13C60364"/>
    <w:rsid w:val="13DA4490"/>
    <w:rsid w:val="14681A9C"/>
    <w:rsid w:val="146F2E2A"/>
    <w:rsid w:val="147D6BCA"/>
    <w:rsid w:val="163A66BD"/>
    <w:rsid w:val="168D57EA"/>
    <w:rsid w:val="16FF7D6A"/>
    <w:rsid w:val="176E33DE"/>
    <w:rsid w:val="180C6BE2"/>
    <w:rsid w:val="18664544"/>
    <w:rsid w:val="18B0756E"/>
    <w:rsid w:val="1A592B86"/>
    <w:rsid w:val="1AC0431E"/>
    <w:rsid w:val="1B590390"/>
    <w:rsid w:val="1B593774"/>
    <w:rsid w:val="1C247730"/>
    <w:rsid w:val="1C907DE2"/>
    <w:rsid w:val="1CB3762C"/>
    <w:rsid w:val="1E4C7D38"/>
    <w:rsid w:val="1EC10726"/>
    <w:rsid w:val="1EE14925"/>
    <w:rsid w:val="1EF74148"/>
    <w:rsid w:val="1FCF6E73"/>
    <w:rsid w:val="20B16579"/>
    <w:rsid w:val="21354AB4"/>
    <w:rsid w:val="21A63C04"/>
    <w:rsid w:val="23294AEC"/>
    <w:rsid w:val="2366189C"/>
    <w:rsid w:val="23A777BF"/>
    <w:rsid w:val="24877D1C"/>
    <w:rsid w:val="254C061E"/>
    <w:rsid w:val="256E2C8A"/>
    <w:rsid w:val="258E6E89"/>
    <w:rsid w:val="25960BBC"/>
    <w:rsid w:val="27041EA4"/>
    <w:rsid w:val="272F6449"/>
    <w:rsid w:val="27B34984"/>
    <w:rsid w:val="28305FD5"/>
    <w:rsid w:val="28520641"/>
    <w:rsid w:val="28986222"/>
    <w:rsid w:val="28B5472C"/>
    <w:rsid w:val="28EC760A"/>
    <w:rsid w:val="291B4ED7"/>
    <w:rsid w:val="299F78B6"/>
    <w:rsid w:val="2AB63109"/>
    <w:rsid w:val="2CB90C8F"/>
    <w:rsid w:val="2DDB69E3"/>
    <w:rsid w:val="2E933762"/>
    <w:rsid w:val="2F067A90"/>
    <w:rsid w:val="2F666780"/>
    <w:rsid w:val="2FE36023"/>
    <w:rsid w:val="304545E8"/>
    <w:rsid w:val="30EB1633"/>
    <w:rsid w:val="31A16195"/>
    <w:rsid w:val="32D9327A"/>
    <w:rsid w:val="330D0608"/>
    <w:rsid w:val="335F00B6"/>
    <w:rsid w:val="336456CD"/>
    <w:rsid w:val="339064C2"/>
    <w:rsid w:val="33B45D0C"/>
    <w:rsid w:val="33FF585B"/>
    <w:rsid w:val="340C3D9A"/>
    <w:rsid w:val="349618B6"/>
    <w:rsid w:val="34F0546A"/>
    <w:rsid w:val="35942299"/>
    <w:rsid w:val="35AA386B"/>
    <w:rsid w:val="35B20971"/>
    <w:rsid w:val="35BA0AF5"/>
    <w:rsid w:val="364C2B74"/>
    <w:rsid w:val="372B09DB"/>
    <w:rsid w:val="388A7983"/>
    <w:rsid w:val="38FB262F"/>
    <w:rsid w:val="39111E53"/>
    <w:rsid w:val="39194863"/>
    <w:rsid w:val="395F2BBE"/>
    <w:rsid w:val="3A0F6392"/>
    <w:rsid w:val="3A2B0CF2"/>
    <w:rsid w:val="3ABE1B66"/>
    <w:rsid w:val="3ACC2883"/>
    <w:rsid w:val="3BC9431F"/>
    <w:rsid w:val="3C674EB4"/>
    <w:rsid w:val="3C8F37BA"/>
    <w:rsid w:val="3DCB6A74"/>
    <w:rsid w:val="40104C12"/>
    <w:rsid w:val="409C46F8"/>
    <w:rsid w:val="41586871"/>
    <w:rsid w:val="41CC4B69"/>
    <w:rsid w:val="41DF2AEE"/>
    <w:rsid w:val="41F83BB0"/>
    <w:rsid w:val="42165DE4"/>
    <w:rsid w:val="425828A0"/>
    <w:rsid w:val="42750D5C"/>
    <w:rsid w:val="453E18DA"/>
    <w:rsid w:val="45D16BF2"/>
    <w:rsid w:val="46E82445"/>
    <w:rsid w:val="475573AE"/>
    <w:rsid w:val="477738A5"/>
    <w:rsid w:val="49AD34D2"/>
    <w:rsid w:val="4A655B5A"/>
    <w:rsid w:val="4A91762E"/>
    <w:rsid w:val="4B090BDC"/>
    <w:rsid w:val="4C481290"/>
    <w:rsid w:val="4CE7337C"/>
    <w:rsid w:val="4CF11927"/>
    <w:rsid w:val="4D2F41FE"/>
    <w:rsid w:val="4D665E71"/>
    <w:rsid w:val="4EE47996"/>
    <w:rsid w:val="50B769E4"/>
    <w:rsid w:val="5151508A"/>
    <w:rsid w:val="52354064"/>
    <w:rsid w:val="52D95337"/>
    <w:rsid w:val="53095C1D"/>
    <w:rsid w:val="53566988"/>
    <w:rsid w:val="5430088E"/>
    <w:rsid w:val="554F7B33"/>
    <w:rsid w:val="56412C14"/>
    <w:rsid w:val="56B75990"/>
    <w:rsid w:val="56C87B9D"/>
    <w:rsid w:val="56E66E44"/>
    <w:rsid w:val="573352D1"/>
    <w:rsid w:val="574511ED"/>
    <w:rsid w:val="5846521D"/>
    <w:rsid w:val="590B1FC3"/>
    <w:rsid w:val="594F1CBE"/>
    <w:rsid w:val="5BD963A8"/>
    <w:rsid w:val="5C5B500F"/>
    <w:rsid w:val="5C675762"/>
    <w:rsid w:val="5D437F7D"/>
    <w:rsid w:val="5DBE13B2"/>
    <w:rsid w:val="5F4E7775"/>
    <w:rsid w:val="602F281D"/>
    <w:rsid w:val="60F021CA"/>
    <w:rsid w:val="618648DC"/>
    <w:rsid w:val="61C13B66"/>
    <w:rsid w:val="64D12312"/>
    <w:rsid w:val="65B9227B"/>
    <w:rsid w:val="663C1A0D"/>
    <w:rsid w:val="676E209B"/>
    <w:rsid w:val="67B81568"/>
    <w:rsid w:val="68684D3C"/>
    <w:rsid w:val="695A0B28"/>
    <w:rsid w:val="69E14DA6"/>
    <w:rsid w:val="6A022F6E"/>
    <w:rsid w:val="6A042842"/>
    <w:rsid w:val="6A1707C7"/>
    <w:rsid w:val="6A3B3D8A"/>
    <w:rsid w:val="6A7774B8"/>
    <w:rsid w:val="6A94006A"/>
    <w:rsid w:val="6C790CBC"/>
    <w:rsid w:val="6CBA7B30"/>
    <w:rsid w:val="6CC86C64"/>
    <w:rsid w:val="6CE95D1F"/>
    <w:rsid w:val="6D39281B"/>
    <w:rsid w:val="6DAA1953"/>
    <w:rsid w:val="6E241705"/>
    <w:rsid w:val="6E6E2980"/>
    <w:rsid w:val="6E881C94"/>
    <w:rsid w:val="6EA97E5C"/>
    <w:rsid w:val="6EC30F1E"/>
    <w:rsid w:val="6EDF562C"/>
    <w:rsid w:val="6F285225"/>
    <w:rsid w:val="6FB22D40"/>
    <w:rsid w:val="70C525FF"/>
    <w:rsid w:val="71015D2D"/>
    <w:rsid w:val="722241AD"/>
    <w:rsid w:val="73FC0A2E"/>
    <w:rsid w:val="74055B35"/>
    <w:rsid w:val="74237D69"/>
    <w:rsid w:val="74463A57"/>
    <w:rsid w:val="75CA34C7"/>
    <w:rsid w:val="75F91D1B"/>
    <w:rsid w:val="75FE6CDF"/>
    <w:rsid w:val="76432944"/>
    <w:rsid w:val="77190713"/>
    <w:rsid w:val="774C5829"/>
    <w:rsid w:val="784B788E"/>
    <w:rsid w:val="7A2E1215"/>
    <w:rsid w:val="7CC3397C"/>
    <w:rsid w:val="7CEA1D6C"/>
    <w:rsid w:val="7D344D95"/>
    <w:rsid w:val="7D8555F0"/>
    <w:rsid w:val="7DC10D1E"/>
    <w:rsid w:val="7EB06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1443</Words>
  <Characters>1462</Characters>
  <Lines>0</Lines>
  <Paragraphs>0</Paragraphs>
  <TotalTime>6</TotalTime>
  <ScaleCrop>false</ScaleCrop>
  <LinksUpToDate>false</LinksUpToDate>
  <CharactersWithSpaces>1463</CharactersWithSpaces>
  <Application>WPS Office_11.1.0.11757_F1E327BC-269C-435d-A152-05C5408002CA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2025-11-10T07:04:00Z</dcterms:created>
  <dc:creator>Administrator</dc:creator>
  <cp:lastModifiedBy>小园园 </cp:lastModifiedBy>
  <dcterms:modified xsi:type="dcterms:W3CDTF">2025-11-16T14:23:52Z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2052-11.1.0.11757</vt:lpwstr>
  </property>
  <property fmtid="{D5CDD505-2E9C-101B-9397-08002B2CF9AE}" pid="3" name="KSOTemplateDocerSaveRecord">
    <vt:lpwstr>eyJoZGlkIjoiYTU2NWE4NzRiMmMyMWJkMTNjNmIyMDkyM2ViYjAxZWYiLCJ1c2VySWQiOiIzMzE3NjE3MzIifQ==</vt:lpwstr>
  </property>
  <property fmtid="{D5CDD505-2E9C-101B-9397-08002B2CF9AE}" pid="4" name="ICV">
    <vt:lpwstr>851690B6EC96402886565D592777E0F5_12</vt:lpwstr>
  </property>
</Properties>
</file>